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E1" w:rsidRDefault="000C7F15" w:rsidP="008276E1">
      <w:pPr>
        <w:widowControl w:val="0"/>
        <w:jc w:val="center"/>
        <w:rPr>
          <w:b/>
          <w:bCs/>
          <w:sz w:val="40"/>
          <w:szCs w:val="40"/>
        </w:rPr>
      </w:pPr>
      <w:r>
        <w:rPr>
          <w:b/>
          <w:bCs/>
          <w:sz w:val="40"/>
          <w:szCs w:val="40"/>
        </w:rPr>
        <w:t xml:space="preserve">AMMO </w:t>
      </w:r>
      <w:r w:rsidR="008276E1">
        <w:rPr>
          <w:b/>
          <w:bCs/>
          <w:sz w:val="40"/>
          <w:szCs w:val="40"/>
        </w:rPr>
        <w:t>MARKET COMMENT A2018</w:t>
      </w:r>
    </w:p>
    <w:p w:rsidR="000C7F15" w:rsidRDefault="000C7F15" w:rsidP="008276E1">
      <w:pPr>
        <w:widowControl w:val="0"/>
        <w:jc w:val="center"/>
        <w:rPr>
          <w:b/>
          <w:bCs/>
          <w:sz w:val="40"/>
          <w:szCs w:val="40"/>
        </w:rPr>
      </w:pPr>
      <w:r>
        <w:rPr>
          <w:b/>
          <w:bCs/>
          <w:sz w:val="40"/>
          <w:szCs w:val="40"/>
        </w:rPr>
        <w:t>Sale date 1 Jun 2018</w:t>
      </w:r>
    </w:p>
    <w:p w:rsidR="008276E1" w:rsidRDefault="008276E1" w:rsidP="008276E1">
      <w:pPr>
        <w:widowControl w:val="0"/>
        <w:ind w:left="160"/>
        <w:rPr>
          <w:rFonts w:ascii="Calibri" w:hAnsi="Calibri"/>
          <w:sz w:val="22"/>
          <w:szCs w:val="22"/>
        </w:rPr>
      </w:pPr>
    </w:p>
    <w:p w:rsidR="008276E1" w:rsidRDefault="008276E1" w:rsidP="008276E1">
      <w:pPr>
        <w:widowControl w:val="0"/>
        <w:ind w:left="160"/>
        <w:rPr>
          <w:rFonts w:ascii="Calibri" w:hAnsi="Calibri"/>
          <w:sz w:val="22"/>
          <w:szCs w:val="22"/>
        </w:rPr>
      </w:pPr>
      <w:r>
        <w:rPr>
          <w:rFonts w:ascii="Calibri" w:hAnsi="Calibri"/>
          <w:sz w:val="22"/>
          <w:szCs w:val="22"/>
        </w:rPr>
        <w:t xml:space="preserve">Our first auction for 2018 was characterised by very spirited bidding and very buoyant prices reflecting mohair prices internationally. 28138 </w:t>
      </w:r>
      <w:proofErr w:type="spellStart"/>
      <w:r>
        <w:rPr>
          <w:rFonts w:ascii="Calibri" w:hAnsi="Calibri"/>
          <w:sz w:val="22"/>
          <w:szCs w:val="22"/>
        </w:rPr>
        <w:t>kgs</w:t>
      </w:r>
      <w:proofErr w:type="spellEnd"/>
      <w:r>
        <w:rPr>
          <w:rFonts w:ascii="Calibri" w:hAnsi="Calibri"/>
          <w:sz w:val="22"/>
          <w:szCs w:val="22"/>
        </w:rPr>
        <w:t xml:space="preserve"> were offered with a 98% clearance at auction and a subsequent 100% clearance of pooled lines. The sale average price of $24.52/kg rose by a remarkable $7.85/kg compared to the last Auction held in November 2017 and was the highest sale average since December 2015 where the average price was $20.53/kg. This is an </w:t>
      </w:r>
      <w:r>
        <w:rPr>
          <w:rFonts w:ascii="Calibri" w:hAnsi="Calibri"/>
          <w:b/>
          <w:bCs/>
          <w:sz w:val="22"/>
          <w:szCs w:val="22"/>
        </w:rPr>
        <w:t>Australian record sale average!!!</w:t>
      </w:r>
    </w:p>
    <w:p w:rsidR="008276E1" w:rsidRDefault="008276E1" w:rsidP="008276E1">
      <w:pPr>
        <w:widowControl w:val="0"/>
        <w:ind w:left="160"/>
        <w:rPr>
          <w:rFonts w:ascii="Calibri" w:hAnsi="Calibri"/>
          <w:sz w:val="22"/>
          <w:szCs w:val="22"/>
        </w:rPr>
      </w:pPr>
      <w:r>
        <w:rPr>
          <w:rFonts w:ascii="Calibri" w:hAnsi="Calibri"/>
          <w:sz w:val="22"/>
          <w:szCs w:val="22"/>
        </w:rPr>
        <w:t>The top price was for Lot 1 BSFFK 23.9 micron, purchased by New England Wools for $42.50/</w:t>
      </w:r>
      <w:proofErr w:type="gramStart"/>
      <w:r>
        <w:rPr>
          <w:rFonts w:ascii="Calibri" w:hAnsi="Calibri"/>
          <w:sz w:val="22"/>
          <w:szCs w:val="22"/>
        </w:rPr>
        <w:t>kg .</w:t>
      </w:r>
      <w:proofErr w:type="gramEnd"/>
      <w:r>
        <w:rPr>
          <w:rFonts w:ascii="Calibri" w:hAnsi="Calibri"/>
          <w:sz w:val="22"/>
          <w:szCs w:val="22"/>
        </w:rPr>
        <w:t xml:space="preserve"> The best Young Goat price was $32.05/kg and the best adult price was $27.80/kg. The market continues to be driven by strong underlying demand and lower domestic and international production levels. Buyers at the auction had many favourable comments on the offering, stating that they were impressed by the uniformity of length and style of lines offered. From this we can deduce that changes to our classing recently introduced have been well received.</w:t>
      </w:r>
    </w:p>
    <w:p w:rsidR="008276E1" w:rsidRDefault="008276E1" w:rsidP="008276E1">
      <w:pPr>
        <w:widowControl w:val="0"/>
        <w:ind w:left="160"/>
        <w:rPr>
          <w:rFonts w:ascii="Calibri" w:hAnsi="Calibri"/>
          <w:b/>
          <w:bCs/>
          <w:sz w:val="22"/>
          <w:szCs w:val="22"/>
        </w:rPr>
      </w:pPr>
      <w:r>
        <w:rPr>
          <w:rFonts w:ascii="Calibri" w:hAnsi="Calibri"/>
          <w:b/>
          <w:bCs/>
          <w:sz w:val="22"/>
          <w:szCs w:val="22"/>
        </w:rPr>
        <w:t>Buyer Totals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Craig Clancy, Manager</w:t>
      </w:r>
    </w:p>
    <w:p w:rsidR="008276E1" w:rsidRDefault="008276E1" w:rsidP="008276E1">
      <w:pPr>
        <w:spacing w:after="0" w:line="240" w:lineRule="auto"/>
        <w:rPr>
          <w:color w:val="auto"/>
          <w:kern w:val="0"/>
          <w:sz w:val="24"/>
          <w:szCs w:val="24"/>
        </w:rPr>
      </w:pPr>
      <w:r>
        <w:t> </w:t>
      </w:r>
      <w:r w:rsidR="00585331">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48.65pt;margin-top:416.7pt;width:232.45pt;height:97.5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520" w:type="dxa"/>
        <w:tblCellMar>
          <w:left w:w="0" w:type="dxa"/>
          <w:right w:w="0" w:type="dxa"/>
        </w:tblCellMar>
        <w:tblLook w:val="04A0"/>
      </w:tblPr>
      <w:tblGrid>
        <w:gridCol w:w="1220"/>
        <w:gridCol w:w="980"/>
        <w:gridCol w:w="620"/>
        <w:gridCol w:w="638"/>
        <w:gridCol w:w="662"/>
        <w:gridCol w:w="529"/>
        <w:gridCol w:w="531"/>
        <w:gridCol w:w="1040"/>
        <w:gridCol w:w="1180"/>
        <w:gridCol w:w="1120"/>
      </w:tblGrid>
      <w:tr w:rsidR="008276E1" w:rsidTr="000C7F15">
        <w:trPr>
          <w:gridAfter w:val="4"/>
          <w:wAfter w:w="3871" w:type="dxa"/>
          <w:trHeight w:val="390"/>
        </w:trPr>
        <w:tc>
          <w:tcPr>
            <w:tcW w:w="2200" w:type="dxa"/>
            <w:gridSpan w:val="2"/>
            <w:tcMar>
              <w:top w:w="15" w:type="dxa"/>
              <w:left w:w="15" w:type="dxa"/>
              <w:bottom w:w="0" w:type="dxa"/>
              <w:right w:w="15" w:type="dxa"/>
            </w:tcMar>
            <w:vAlign w:val="bottom"/>
            <w:hideMark/>
          </w:tcPr>
          <w:p w:rsidR="008276E1" w:rsidRDefault="008276E1">
            <w:pPr>
              <w:widowControl w:val="0"/>
              <w:spacing w:after="280"/>
              <w:rPr>
                <w:rFonts w:ascii="Arial" w:hAnsi="Arial" w:cs="Arial"/>
                <w:b/>
                <w:bCs/>
                <w:sz w:val="22"/>
                <w:szCs w:val="22"/>
              </w:rPr>
            </w:pPr>
            <w:r>
              <w:rPr>
                <w:rFonts w:ascii="Arial" w:hAnsi="Arial" w:cs="Arial"/>
                <w:b/>
                <w:bCs/>
                <w:sz w:val="22"/>
                <w:szCs w:val="22"/>
              </w:rPr>
              <w:t>Buyers</w:t>
            </w:r>
          </w:p>
        </w:tc>
        <w:tc>
          <w:tcPr>
            <w:tcW w:w="1258"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b/>
                <w:bCs/>
                <w:sz w:val="22"/>
                <w:szCs w:val="22"/>
              </w:rPr>
            </w:pPr>
            <w:r>
              <w:rPr>
                <w:rFonts w:ascii="Arial" w:hAnsi="Arial" w:cs="Arial"/>
                <w:b/>
                <w:bCs/>
                <w:sz w:val="22"/>
                <w:szCs w:val="22"/>
              </w:rPr>
              <w:t xml:space="preserve"> lots </w:t>
            </w:r>
          </w:p>
        </w:tc>
        <w:tc>
          <w:tcPr>
            <w:tcW w:w="1191"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b/>
                <w:bCs/>
                <w:sz w:val="22"/>
                <w:szCs w:val="22"/>
              </w:rPr>
            </w:pPr>
            <w:r>
              <w:rPr>
                <w:rFonts w:ascii="Arial" w:hAnsi="Arial" w:cs="Arial"/>
                <w:b/>
                <w:bCs/>
                <w:sz w:val="22"/>
                <w:szCs w:val="22"/>
              </w:rPr>
              <w:t>bales</w:t>
            </w:r>
          </w:p>
        </w:tc>
      </w:tr>
      <w:tr w:rsidR="008276E1" w:rsidTr="000C7F15">
        <w:trPr>
          <w:gridAfter w:val="4"/>
          <w:wAfter w:w="3871" w:type="dxa"/>
          <w:trHeight w:val="390"/>
        </w:trPr>
        <w:tc>
          <w:tcPr>
            <w:tcW w:w="2200" w:type="dxa"/>
            <w:gridSpan w:val="2"/>
            <w:tcMar>
              <w:top w:w="15" w:type="dxa"/>
              <w:left w:w="15" w:type="dxa"/>
              <w:bottom w:w="0" w:type="dxa"/>
              <w:right w:w="15" w:type="dxa"/>
            </w:tcMar>
            <w:vAlign w:val="bottom"/>
            <w:hideMark/>
          </w:tcPr>
          <w:p w:rsidR="008276E1" w:rsidRDefault="008276E1">
            <w:pPr>
              <w:widowControl w:val="0"/>
              <w:spacing w:after="280"/>
              <w:rPr>
                <w:rFonts w:ascii="Arial" w:hAnsi="Arial" w:cs="Arial"/>
                <w:sz w:val="22"/>
                <w:szCs w:val="22"/>
              </w:rPr>
            </w:pPr>
            <w:r>
              <w:rPr>
                <w:rFonts w:ascii="Arial" w:hAnsi="Arial" w:cs="Arial"/>
                <w:sz w:val="22"/>
                <w:szCs w:val="22"/>
              </w:rPr>
              <w:t>AMT</w:t>
            </w:r>
          </w:p>
        </w:tc>
        <w:tc>
          <w:tcPr>
            <w:tcW w:w="1258"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21</w:t>
            </w:r>
          </w:p>
        </w:tc>
        <w:tc>
          <w:tcPr>
            <w:tcW w:w="1191"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65</w:t>
            </w:r>
          </w:p>
        </w:tc>
      </w:tr>
      <w:tr w:rsidR="008276E1" w:rsidTr="000C7F15">
        <w:trPr>
          <w:gridAfter w:val="4"/>
          <w:wAfter w:w="3871" w:type="dxa"/>
          <w:trHeight w:val="390"/>
        </w:trPr>
        <w:tc>
          <w:tcPr>
            <w:tcW w:w="2200" w:type="dxa"/>
            <w:gridSpan w:val="2"/>
            <w:tcMar>
              <w:top w:w="15" w:type="dxa"/>
              <w:left w:w="15" w:type="dxa"/>
              <w:bottom w:w="0" w:type="dxa"/>
              <w:right w:w="15" w:type="dxa"/>
            </w:tcMar>
            <w:vAlign w:val="bottom"/>
            <w:hideMark/>
          </w:tcPr>
          <w:p w:rsidR="008276E1" w:rsidRDefault="008276E1">
            <w:pPr>
              <w:widowControl w:val="0"/>
              <w:spacing w:after="280"/>
              <w:rPr>
                <w:rFonts w:ascii="Arial" w:hAnsi="Arial" w:cs="Arial"/>
                <w:sz w:val="22"/>
                <w:szCs w:val="22"/>
              </w:rPr>
            </w:pPr>
            <w:proofErr w:type="spellStart"/>
            <w:r>
              <w:rPr>
                <w:rFonts w:ascii="Arial" w:hAnsi="Arial" w:cs="Arial"/>
                <w:sz w:val="22"/>
                <w:szCs w:val="22"/>
              </w:rPr>
              <w:t>Suedwolle</w:t>
            </w:r>
            <w:proofErr w:type="spellEnd"/>
          </w:p>
        </w:tc>
        <w:tc>
          <w:tcPr>
            <w:tcW w:w="1258"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11</w:t>
            </w:r>
          </w:p>
        </w:tc>
        <w:tc>
          <w:tcPr>
            <w:tcW w:w="1191"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49</w:t>
            </w:r>
          </w:p>
        </w:tc>
      </w:tr>
      <w:tr w:rsidR="008276E1" w:rsidTr="000C7F15">
        <w:trPr>
          <w:gridAfter w:val="4"/>
          <w:wAfter w:w="3871" w:type="dxa"/>
          <w:trHeight w:val="390"/>
        </w:trPr>
        <w:tc>
          <w:tcPr>
            <w:tcW w:w="2200" w:type="dxa"/>
            <w:gridSpan w:val="2"/>
            <w:tcMar>
              <w:top w:w="15" w:type="dxa"/>
              <w:left w:w="15" w:type="dxa"/>
              <w:bottom w:w="0" w:type="dxa"/>
              <w:right w:w="15" w:type="dxa"/>
            </w:tcMar>
            <w:vAlign w:val="bottom"/>
            <w:hideMark/>
          </w:tcPr>
          <w:p w:rsidR="008276E1" w:rsidRDefault="008276E1">
            <w:pPr>
              <w:widowControl w:val="0"/>
              <w:spacing w:after="280"/>
              <w:rPr>
                <w:rFonts w:ascii="Arial" w:hAnsi="Arial" w:cs="Arial"/>
                <w:sz w:val="22"/>
                <w:szCs w:val="22"/>
              </w:rPr>
            </w:pPr>
            <w:proofErr w:type="spellStart"/>
            <w:r>
              <w:rPr>
                <w:rFonts w:ascii="Arial" w:hAnsi="Arial" w:cs="Arial"/>
                <w:sz w:val="22"/>
                <w:szCs w:val="22"/>
              </w:rPr>
              <w:t>Stucken</w:t>
            </w:r>
            <w:proofErr w:type="spellEnd"/>
          </w:p>
        </w:tc>
        <w:tc>
          <w:tcPr>
            <w:tcW w:w="1258"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10</w:t>
            </w:r>
          </w:p>
        </w:tc>
        <w:tc>
          <w:tcPr>
            <w:tcW w:w="1191"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34</w:t>
            </w:r>
          </w:p>
        </w:tc>
      </w:tr>
      <w:tr w:rsidR="008276E1" w:rsidTr="000C7F15">
        <w:trPr>
          <w:gridAfter w:val="4"/>
          <w:wAfter w:w="3871" w:type="dxa"/>
          <w:trHeight w:val="390"/>
        </w:trPr>
        <w:tc>
          <w:tcPr>
            <w:tcW w:w="2200" w:type="dxa"/>
            <w:gridSpan w:val="2"/>
            <w:tcMar>
              <w:top w:w="15" w:type="dxa"/>
              <w:left w:w="15" w:type="dxa"/>
              <w:bottom w:w="0" w:type="dxa"/>
              <w:right w:w="15" w:type="dxa"/>
            </w:tcMar>
            <w:vAlign w:val="bottom"/>
            <w:hideMark/>
          </w:tcPr>
          <w:p w:rsidR="008276E1" w:rsidRDefault="008276E1">
            <w:pPr>
              <w:widowControl w:val="0"/>
              <w:spacing w:after="280"/>
              <w:rPr>
                <w:rFonts w:ascii="Arial" w:hAnsi="Arial" w:cs="Arial"/>
                <w:sz w:val="22"/>
                <w:szCs w:val="22"/>
              </w:rPr>
            </w:pPr>
            <w:r>
              <w:rPr>
                <w:rFonts w:ascii="Arial" w:hAnsi="Arial" w:cs="Arial"/>
                <w:sz w:val="22"/>
                <w:szCs w:val="22"/>
              </w:rPr>
              <w:t>New England Wools</w:t>
            </w:r>
          </w:p>
        </w:tc>
        <w:tc>
          <w:tcPr>
            <w:tcW w:w="1258"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3</w:t>
            </w:r>
          </w:p>
        </w:tc>
        <w:tc>
          <w:tcPr>
            <w:tcW w:w="1191" w:type="dxa"/>
            <w:gridSpan w:val="2"/>
            <w:tcMar>
              <w:top w:w="15" w:type="dxa"/>
              <w:left w:w="15" w:type="dxa"/>
              <w:bottom w:w="0" w:type="dxa"/>
              <w:right w:w="15" w:type="dxa"/>
            </w:tcMar>
            <w:vAlign w:val="bottom"/>
            <w:hideMark/>
          </w:tcPr>
          <w:p w:rsidR="008276E1" w:rsidRDefault="008276E1">
            <w:pPr>
              <w:widowControl w:val="0"/>
              <w:spacing w:after="280"/>
              <w:jc w:val="center"/>
              <w:rPr>
                <w:rFonts w:ascii="Arial" w:hAnsi="Arial" w:cs="Arial"/>
                <w:sz w:val="22"/>
                <w:szCs w:val="22"/>
              </w:rPr>
            </w:pPr>
            <w:r>
              <w:rPr>
                <w:rFonts w:ascii="Arial" w:hAnsi="Arial" w:cs="Arial"/>
                <w:sz w:val="22"/>
                <w:szCs w:val="22"/>
              </w:rPr>
              <w:t>4</w:t>
            </w:r>
          </w:p>
        </w:tc>
      </w:tr>
      <w:tr w:rsidR="000C7F15" w:rsidRPr="000C7F15" w:rsidTr="000C7F15">
        <w:tblPrEx>
          <w:tblCellMar>
            <w:left w:w="108" w:type="dxa"/>
            <w:right w:w="108" w:type="dxa"/>
          </w:tblCellMar>
        </w:tblPrEx>
        <w:trPr>
          <w:trHeight w:val="600"/>
        </w:trPr>
        <w:tc>
          <w:tcPr>
            <w:tcW w:w="1220" w:type="dxa"/>
            <w:tcBorders>
              <w:top w:val="single" w:sz="4" w:space="0" w:color="auto"/>
              <w:left w:val="single" w:sz="4" w:space="0" w:color="auto"/>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LOT No</w:t>
            </w:r>
          </w:p>
        </w:tc>
        <w:tc>
          <w:tcPr>
            <w:tcW w:w="1600" w:type="dxa"/>
            <w:gridSpan w:val="2"/>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DESC</w:t>
            </w:r>
          </w:p>
        </w:tc>
        <w:tc>
          <w:tcPr>
            <w:tcW w:w="1300" w:type="dxa"/>
            <w:gridSpan w:val="2"/>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PRICE c/kg</w:t>
            </w:r>
          </w:p>
        </w:tc>
        <w:tc>
          <w:tcPr>
            <w:tcW w:w="1060" w:type="dxa"/>
            <w:gridSpan w:val="2"/>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MEAN DIAM</w:t>
            </w:r>
          </w:p>
        </w:tc>
        <w:tc>
          <w:tcPr>
            <w:tcW w:w="1040" w:type="dxa"/>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YIELD %</w:t>
            </w:r>
          </w:p>
        </w:tc>
        <w:tc>
          <w:tcPr>
            <w:tcW w:w="1180" w:type="dxa"/>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NETT KGS</w:t>
            </w:r>
          </w:p>
        </w:tc>
        <w:tc>
          <w:tcPr>
            <w:tcW w:w="1120" w:type="dxa"/>
            <w:tcBorders>
              <w:top w:val="single" w:sz="4" w:space="0" w:color="auto"/>
              <w:left w:val="nil"/>
              <w:bottom w:val="single" w:sz="4" w:space="0" w:color="auto"/>
              <w:right w:val="single" w:sz="4" w:space="0" w:color="auto"/>
            </w:tcBorders>
            <w:shd w:val="clear" w:color="000000" w:fill="7F7F7F"/>
            <w:vAlign w:val="bottom"/>
            <w:hideMark/>
          </w:tcPr>
          <w:p w:rsidR="000C7F15" w:rsidRPr="000C7F15" w:rsidRDefault="000C7F15" w:rsidP="000C7F15">
            <w:pPr>
              <w:spacing w:after="0" w:line="240" w:lineRule="auto"/>
              <w:jc w:val="center"/>
              <w:rPr>
                <w:rFonts w:ascii="Arial" w:hAnsi="Arial" w:cs="Arial"/>
                <w:b/>
                <w:bCs/>
                <w:color w:val="FFFFFF"/>
                <w:kern w:val="0"/>
                <w:sz w:val="22"/>
                <w:szCs w:val="22"/>
              </w:rPr>
            </w:pPr>
            <w:r w:rsidRPr="000C7F15">
              <w:rPr>
                <w:rFonts w:ascii="Arial" w:hAnsi="Arial" w:cs="Arial"/>
                <w:b/>
                <w:bCs/>
                <w:color w:val="FFFFFF"/>
                <w:kern w:val="0"/>
                <w:sz w:val="22"/>
                <w:szCs w:val="22"/>
              </w:rPr>
              <w:t>BALES</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BSFFK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4250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23.9</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140.0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AFFK</w:t>
            </w:r>
          </w:p>
        </w:tc>
        <w:tc>
          <w:tcPr>
            <w:tcW w:w="13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4230</w:t>
            </w:r>
          </w:p>
        </w:tc>
        <w:tc>
          <w:tcPr>
            <w:tcW w:w="106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25.2</w:t>
            </w:r>
          </w:p>
        </w:tc>
        <w:tc>
          <w:tcPr>
            <w:tcW w:w="104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133.0</w:t>
            </w:r>
          </w:p>
        </w:tc>
        <w:tc>
          <w:tcPr>
            <w:tcW w:w="112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3860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24.8</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80.8</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347.0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3600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23.4</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84.2</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274.0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5</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CFFK</w:t>
            </w:r>
          </w:p>
        </w:tc>
        <w:tc>
          <w:tcPr>
            <w:tcW w:w="13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3710</w:t>
            </w:r>
          </w:p>
        </w:tc>
        <w:tc>
          <w:tcPr>
            <w:tcW w:w="106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25.2</w:t>
            </w:r>
          </w:p>
        </w:tc>
        <w:tc>
          <w:tcPr>
            <w:tcW w:w="104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117.0</w:t>
            </w:r>
          </w:p>
        </w:tc>
        <w:tc>
          <w:tcPr>
            <w:tcW w:w="112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3680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26.5</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80.6</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171.0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FKID2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3220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24.3</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75.3</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453.0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3430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25.6</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82.3</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372.0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9</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DFK</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3000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24.5</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84.5</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651.0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EFK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2280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24.1</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106.0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BKID</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3405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27.4</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78.4</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126.0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FKIDV</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2050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24.5</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78.2</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686.0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BFFYG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3205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28.5</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108.0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AFYG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2890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29.8</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77.4</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131.0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lastRenderedPageBreak/>
              <w:t>15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2780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30.3</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80.6</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403.0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CFFYG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3055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28.0</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82.3</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397.0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2820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29.3</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80.1</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1371.0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7</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FYG2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2550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27.9</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79.7</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186.0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2490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29.1</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81.1</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1529.0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8</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EYG</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1900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27.2</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126.0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FYGV</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28.9</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78.8</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599.0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YGVV</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880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27.8</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74.9</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152.0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23</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BFFH</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2650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32.3</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80.9</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879.0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5</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BFFH</w:t>
            </w:r>
          </w:p>
        </w:tc>
        <w:tc>
          <w:tcPr>
            <w:tcW w:w="130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2660</w:t>
            </w:r>
          </w:p>
        </w:tc>
        <w:tc>
          <w:tcPr>
            <w:tcW w:w="1060" w:type="dxa"/>
            <w:gridSpan w:val="2"/>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32.5</w:t>
            </w:r>
          </w:p>
        </w:tc>
        <w:tc>
          <w:tcPr>
            <w:tcW w:w="104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78.6</w:t>
            </w:r>
          </w:p>
        </w:tc>
        <w:tc>
          <w:tcPr>
            <w:tcW w:w="118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187.0</w:t>
            </w:r>
          </w:p>
        </w:tc>
        <w:tc>
          <w:tcPr>
            <w:tcW w:w="1120" w:type="dxa"/>
            <w:tcBorders>
              <w:top w:val="nil"/>
              <w:left w:val="nil"/>
              <w:bottom w:val="single" w:sz="4" w:space="0" w:color="auto"/>
              <w:right w:val="single" w:sz="4" w:space="0" w:color="auto"/>
            </w:tcBorders>
            <w:shd w:val="clear" w:color="000000" w:fill="FFFF00"/>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FFH2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31.3</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81.9</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2780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31.0</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81.7</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2053.0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10</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32.0</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81.7</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1579.0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8</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DFFH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31.2</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81.3</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1960.0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10</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DFFH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2650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31.7</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81.4</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1276.0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7</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EFFH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1750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30.1</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81.5</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497.0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31</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BFH</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34.1</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85.1</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211.0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34.5</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82.5</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1590.0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9</w:t>
            </w:r>
          </w:p>
        </w:tc>
      </w:tr>
      <w:tr w:rsidR="000C7F15" w:rsidRPr="000C7F15" w:rsidTr="000C7F15">
        <w:tblPrEx>
          <w:tblCellMar>
            <w:left w:w="108" w:type="dxa"/>
            <w:right w:w="108" w:type="dxa"/>
          </w:tblCellMar>
        </w:tblPrEx>
        <w:trPr>
          <w:trHeight w:val="40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FHK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1900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34.3</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87.9</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134.0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CFHK</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1900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32.7</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82.6</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518.0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FHV</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2240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31.9</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76.5</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789.0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BH</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2030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36.6</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82.3</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154.0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FCOT</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2910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26.1</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83.1</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561.0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SCOT</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2700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30.0</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80.9</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2016.0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COT</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2470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29.4</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188.0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COTV</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1210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26.8</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78.0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290.0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FSTN</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2360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26.9</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82.0</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309.0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42</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STN</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2300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31.5</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82.6</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1187.0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6</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43</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LOX</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660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30.8</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71.5</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922.0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5</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44</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STNV</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660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28.5</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72.0</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627.0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45</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DSTN</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450</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29.2</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80.5</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801.0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46</w:t>
            </w:r>
          </w:p>
        </w:tc>
        <w:tc>
          <w:tcPr>
            <w:tcW w:w="16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DLOX</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U/S</w:t>
            </w:r>
          </w:p>
        </w:tc>
        <w:tc>
          <w:tcPr>
            <w:tcW w:w="1060" w:type="dxa"/>
            <w:gridSpan w:val="2"/>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28.3</w:t>
            </w:r>
          </w:p>
        </w:tc>
        <w:tc>
          <w:tcPr>
            <w:tcW w:w="104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72.4</w:t>
            </w:r>
          </w:p>
        </w:tc>
        <w:tc>
          <w:tcPr>
            <w:tcW w:w="118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516.0</w:t>
            </w:r>
          </w:p>
        </w:tc>
        <w:tc>
          <w:tcPr>
            <w:tcW w:w="1120" w:type="dxa"/>
            <w:tcBorders>
              <w:top w:val="nil"/>
              <w:left w:val="nil"/>
              <w:bottom w:val="single" w:sz="4" w:space="0" w:color="auto"/>
              <w:right w:val="single" w:sz="4" w:space="0" w:color="auto"/>
            </w:tcBorders>
            <w:shd w:val="clear" w:color="000000" w:fill="FFFFFF"/>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3</w:t>
            </w:r>
          </w:p>
        </w:tc>
      </w:tr>
      <w:tr w:rsidR="000C7F15" w:rsidRPr="000C7F15" w:rsidTr="000C7F15">
        <w:tblPrEx>
          <w:tblCellMar>
            <w:left w:w="108" w:type="dxa"/>
            <w:right w:w="108" w:type="dxa"/>
          </w:tblCellMar>
        </w:tblPrEx>
        <w:trPr>
          <w:trHeight w:val="3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TOTAL</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Comic Sans MS" w:hAnsi="Comic Sans MS" w:cs="Arial"/>
                <w:b/>
                <w:bCs/>
                <w:color w:val="auto"/>
                <w:kern w:val="0"/>
                <w:sz w:val="24"/>
                <w:szCs w:val="24"/>
              </w:rPr>
            </w:pPr>
            <w:r w:rsidRPr="000C7F15">
              <w:rPr>
                <w:rFonts w:ascii="Comic Sans MS" w:hAnsi="Comic Sans MS" w:cs="Arial"/>
                <w:b/>
                <w:bCs/>
                <w:color w:val="auto"/>
                <w:kern w:val="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28138.0</w:t>
            </w:r>
          </w:p>
        </w:tc>
        <w:tc>
          <w:tcPr>
            <w:tcW w:w="1120" w:type="dxa"/>
            <w:tcBorders>
              <w:top w:val="nil"/>
              <w:left w:val="nil"/>
              <w:bottom w:val="single" w:sz="4" w:space="0" w:color="auto"/>
              <w:right w:val="single" w:sz="4" w:space="0" w:color="auto"/>
            </w:tcBorders>
            <w:shd w:val="clear" w:color="auto" w:fill="auto"/>
            <w:noWrap/>
            <w:vAlign w:val="bottom"/>
            <w:hideMark/>
          </w:tcPr>
          <w:p w:rsidR="000C7F15" w:rsidRPr="000C7F15" w:rsidRDefault="000C7F15" w:rsidP="000C7F15">
            <w:pPr>
              <w:spacing w:after="0" w:line="240" w:lineRule="auto"/>
              <w:jc w:val="center"/>
              <w:rPr>
                <w:rFonts w:ascii="Arial" w:hAnsi="Arial" w:cs="Arial"/>
                <w:b/>
                <w:bCs/>
                <w:color w:val="auto"/>
                <w:kern w:val="0"/>
                <w:sz w:val="24"/>
                <w:szCs w:val="24"/>
              </w:rPr>
            </w:pPr>
            <w:r w:rsidRPr="000C7F15">
              <w:rPr>
                <w:rFonts w:ascii="Arial" w:hAnsi="Arial" w:cs="Arial"/>
                <w:b/>
                <w:bCs/>
                <w:color w:val="auto"/>
                <w:kern w:val="0"/>
                <w:sz w:val="24"/>
                <w:szCs w:val="24"/>
              </w:rPr>
              <w:t>155.0</w:t>
            </w:r>
          </w:p>
        </w:tc>
      </w:tr>
    </w:tbl>
    <w:p w:rsidR="008653FF" w:rsidRDefault="008653FF"/>
    <w:sectPr w:rsidR="008653FF" w:rsidSect="000C7F15">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6E1"/>
    <w:rsid w:val="000C7F15"/>
    <w:rsid w:val="00585331"/>
    <w:rsid w:val="008276E1"/>
    <w:rsid w:val="008653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E1"/>
    <w:pPr>
      <w:spacing w:after="96" w:line="264" w:lineRule="auto"/>
    </w:pPr>
    <w:rPr>
      <w:rFonts w:ascii="Times New Roman" w:eastAsia="Times New Roman" w:hAnsi="Times New Roman" w:cs="Times New Roman"/>
      <w:color w:val="000000"/>
      <w:kern w:val="28"/>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6254">
      <w:bodyDiv w:val="1"/>
      <w:marLeft w:val="0"/>
      <w:marRight w:val="0"/>
      <w:marTop w:val="0"/>
      <w:marBottom w:val="0"/>
      <w:divBdr>
        <w:top w:val="none" w:sz="0" w:space="0" w:color="auto"/>
        <w:left w:val="none" w:sz="0" w:space="0" w:color="auto"/>
        <w:bottom w:val="none" w:sz="0" w:space="0" w:color="auto"/>
        <w:right w:val="none" w:sz="0" w:space="0" w:color="auto"/>
      </w:divBdr>
    </w:div>
    <w:div w:id="239101131">
      <w:bodyDiv w:val="1"/>
      <w:marLeft w:val="0"/>
      <w:marRight w:val="0"/>
      <w:marTop w:val="0"/>
      <w:marBottom w:val="0"/>
      <w:divBdr>
        <w:top w:val="none" w:sz="0" w:space="0" w:color="auto"/>
        <w:left w:val="none" w:sz="0" w:space="0" w:color="auto"/>
        <w:bottom w:val="none" w:sz="0" w:space="0" w:color="auto"/>
        <w:right w:val="none" w:sz="0" w:space="0" w:color="auto"/>
      </w:divBdr>
    </w:div>
    <w:div w:id="1098449491">
      <w:bodyDiv w:val="1"/>
      <w:marLeft w:val="0"/>
      <w:marRight w:val="0"/>
      <w:marTop w:val="0"/>
      <w:marBottom w:val="0"/>
      <w:divBdr>
        <w:top w:val="none" w:sz="0" w:space="0" w:color="auto"/>
        <w:left w:val="none" w:sz="0" w:space="0" w:color="auto"/>
        <w:bottom w:val="none" w:sz="0" w:space="0" w:color="auto"/>
        <w:right w:val="none" w:sz="0" w:space="0" w:color="auto"/>
      </w:divBdr>
    </w:div>
    <w:div w:id="12405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2018-06-06T01:28:00Z</dcterms:created>
  <dcterms:modified xsi:type="dcterms:W3CDTF">2018-06-06T01:28:00Z</dcterms:modified>
</cp:coreProperties>
</file>